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BF" w:rsidRPr="00FF52DB" w:rsidRDefault="00C018DC" w:rsidP="00363E2B">
      <w:pPr>
        <w:pStyle w:val="Title"/>
        <w:rPr>
          <w:rFonts w:ascii="Century Gothic" w:hAnsi="Century Gothic"/>
          <w:b/>
          <w:sz w:val="28"/>
        </w:rPr>
      </w:pPr>
      <w:r w:rsidRPr="00FF52DB">
        <w:rPr>
          <w:rFonts w:ascii="Century Gothic" w:hAnsi="Century Gothic"/>
          <w:b/>
          <w:sz w:val="28"/>
        </w:rPr>
        <w:t>Protect Pollinators by Removing Invasive Plants</w:t>
      </w:r>
    </w:p>
    <w:p w:rsidR="00A419BF" w:rsidRPr="00B26CBD" w:rsidRDefault="00A419BF">
      <w:pPr>
        <w:pStyle w:val="Standard"/>
        <w:rPr>
          <w:rFonts w:asciiTheme="minorHAnsi" w:hAnsiTheme="minorHAnsi" w:cstheme="minorHAnsi"/>
        </w:rPr>
      </w:pPr>
    </w:p>
    <w:p w:rsidR="00A419BF" w:rsidRPr="00B26CBD" w:rsidRDefault="00C018DC" w:rsidP="00D96677">
      <w:pPr>
        <w:jc w:val="both"/>
      </w:pPr>
      <w:r w:rsidRPr="00B26CBD">
        <w:t>Invasive plants harm pollinators by displacing the native plants that pollinators need for food or shelter.</w:t>
      </w:r>
      <w:r w:rsidR="008E74D1">
        <w:t xml:space="preserve"> </w:t>
      </w:r>
      <w:r w:rsidRPr="00B26CBD">
        <w:t>The US Department of Agriculture defines an invasive plant as a plant that is non-native to the ecosystem under consideration; and whose introduction causes or is likely to cause economic or environmental harm or harm to human health.</w:t>
      </w:r>
      <w:r w:rsidR="008E74D1">
        <w:t xml:space="preserve"> </w:t>
      </w:r>
    </w:p>
    <w:p w:rsidR="00A419BF" w:rsidRPr="00B26CBD" w:rsidRDefault="00A419BF" w:rsidP="00D96677">
      <w:pPr>
        <w:jc w:val="both"/>
      </w:pPr>
    </w:p>
    <w:p w:rsidR="00A419BF" w:rsidRPr="00B26CBD" w:rsidRDefault="00C018DC" w:rsidP="00D96677">
      <w:pPr>
        <w:jc w:val="both"/>
      </w:pPr>
      <w:r w:rsidRPr="00B26CBD">
        <w:t>Why do some non-native plants become invasive?</w:t>
      </w:r>
      <w:r w:rsidR="008E74D1">
        <w:t xml:space="preserve"> </w:t>
      </w:r>
      <w:r w:rsidRPr="00B26CBD">
        <w:t>In their native environment, there are insects and other predators that limit their growth and spread.</w:t>
      </w:r>
      <w:r w:rsidR="008E74D1">
        <w:t xml:space="preserve"> </w:t>
      </w:r>
      <w:r w:rsidRPr="00B26CBD">
        <w:t>However, when these plants are introduced to our area, the insects and predators that limited their growth are missing.</w:t>
      </w:r>
      <w:r w:rsidR="008E74D1">
        <w:t xml:space="preserve"> </w:t>
      </w:r>
      <w:r w:rsidRPr="00B26CBD">
        <w:t>As a result, these non-native plants can rapidly grow and spread.</w:t>
      </w:r>
      <w:r w:rsidR="008E74D1">
        <w:t xml:space="preserve"> </w:t>
      </w:r>
      <w:r w:rsidRPr="00B26CBD">
        <w:t>Our native plants exist in balance wit</w:t>
      </w:r>
      <w:r w:rsidR="008E74D1">
        <w:t xml:space="preserve">h insects and other predators. </w:t>
      </w:r>
      <w:r w:rsidRPr="00B26CBD">
        <w:t>They cannot compete with the rapid growth and spread of invasive plant species and are displaced by them.</w:t>
      </w:r>
    </w:p>
    <w:p w:rsidR="00A419BF" w:rsidRPr="00B26CBD" w:rsidRDefault="00A419BF" w:rsidP="00D96677">
      <w:pPr>
        <w:jc w:val="both"/>
      </w:pPr>
    </w:p>
    <w:p w:rsidR="00A419BF" w:rsidRPr="00B26CBD" w:rsidRDefault="00C018DC" w:rsidP="00D96677">
      <w:pPr>
        <w:jc w:val="both"/>
      </w:pPr>
      <w:r w:rsidRPr="00B26CBD">
        <w:t>Sometimes the damage caused by invasive plants is immediately apparent in our gardens when plants such as Garlic Mustard or Swallow-</w:t>
      </w:r>
      <w:proofErr w:type="spellStart"/>
      <w:r w:rsidRPr="00B26CBD">
        <w:t>wort</w:t>
      </w:r>
      <w:proofErr w:type="spellEnd"/>
      <w:r w:rsidRPr="00B26CBD">
        <w:t xml:space="preserve"> overwhelm a flower bed.</w:t>
      </w:r>
      <w:r w:rsidR="008E74D1">
        <w:t xml:space="preserve"> </w:t>
      </w:r>
      <w:r w:rsidRPr="00B26CBD">
        <w:t>Other invasive plants, such as Burning Bush or Japanese Barberry, may appear harmless in our garden.</w:t>
      </w:r>
      <w:r w:rsidR="008E74D1">
        <w:t xml:space="preserve"> </w:t>
      </w:r>
      <w:r w:rsidRPr="00B26CBD">
        <w:t xml:space="preserve">However, the seeds from these plants are carried by birds or other animals to parks, </w:t>
      </w:r>
      <w:r w:rsidRPr="00363E2B">
        <w:t>forests</w:t>
      </w:r>
      <w:r w:rsidRPr="00B26CBD">
        <w:t xml:space="preserve"> and other natural areas.</w:t>
      </w:r>
      <w:r w:rsidR="008E74D1">
        <w:t xml:space="preserve"> </w:t>
      </w:r>
      <w:r w:rsidRPr="00B26CBD">
        <w:t>The plants that sprout from these seeds cause major disruption to pollinator habitat in those areas.</w:t>
      </w:r>
    </w:p>
    <w:p w:rsidR="00A419BF" w:rsidRPr="00B26CBD" w:rsidRDefault="00A419BF" w:rsidP="00D96677">
      <w:pPr>
        <w:jc w:val="both"/>
      </w:pPr>
    </w:p>
    <w:p w:rsidR="00A419BF" w:rsidRDefault="00C018DC" w:rsidP="00D96677">
      <w:pPr>
        <w:jc w:val="both"/>
      </w:pPr>
      <w:r w:rsidRPr="00B26CBD">
        <w:t xml:space="preserve">The NY Department of Environmental Conservation (DEC) </w:t>
      </w:r>
      <w:r w:rsidRPr="00D96677">
        <w:t>maintains a list o</w:t>
      </w:r>
      <w:r w:rsidR="00D96677">
        <w:t>f invasive plants:</w:t>
      </w:r>
      <w:r w:rsidR="00D96677">
        <w:rPr>
          <w:rStyle w:val="Hyperlink"/>
        </w:rPr>
        <w:t xml:space="preserve"> </w:t>
      </w:r>
      <w:r w:rsidR="00D96677" w:rsidRPr="00D96677">
        <w:rPr>
          <w:rStyle w:val="Hyperlink"/>
        </w:rPr>
        <w:t>https://www.dec.ny.gov/docs/lands_forests_pdf/isprohibitedplants2.pdf</w:t>
      </w:r>
      <w:r w:rsidR="00D96677">
        <w:rPr>
          <w:rStyle w:val="Hyperlink"/>
        </w:rPr>
        <w:t>.</w:t>
      </w:r>
      <w:r w:rsidRPr="00B26CBD">
        <w:t xml:space="preserve"> Introduction of new invasive plants is not permitted in certified pollinator-friendly gardens.</w:t>
      </w:r>
      <w:r w:rsidR="008E74D1">
        <w:t xml:space="preserve"> </w:t>
      </w:r>
      <w:r w:rsidRPr="00B26CBD">
        <w:t>Removal of existing invasive plants is not required for certification of a pollinator-friendly garden.</w:t>
      </w:r>
      <w:r w:rsidR="008E74D1">
        <w:t xml:space="preserve"> </w:t>
      </w:r>
      <w:r w:rsidRPr="00B26CBD">
        <w:t>However, we recommend removing invasive plants and can provide advice on the best methods for an</w:t>
      </w:r>
      <w:r w:rsidR="00913A52">
        <w:t>y that are present in a garden.</w:t>
      </w:r>
      <w:r w:rsidRPr="00B26CBD">
        <w:t xml:space="preserve"> Cornell Cooperative Extension offers </w:t>
      </w:r>
      <w:r w:rsidRPr="00D96677">
        <w:t>recommended alternatives</w:t>
      </w:r>
      <w:r w:rsidR="00913A52" w:rsidRPr="00D96677">
        <w:t xml:space="preserve"> for invasive ornamental plants</w:t>
      </w:r>
      <w:r w:rsidR="00D96677">
        <w:t xml:space="preserve">: </w:t>
      </w:r>
      <w:hyperlink r:id="rId7" w:history="1">
        <w:r w:rsidR="00D96677" w:rsidRPr="004E74F9">
          <w:rPr>
            <w:rStyle w:val="Hyperlink"/>
          </w:rPr>
          <w:t>https://nysipm.cornell.edu/sites/nysipm.cornell.edu/files/shared/documents/NYSIPM-alt-inv.pdf</w:t>
        </w:r>
      </w:hyperlink>
      <w:r w:rsidR="00913A52">
        <w:t>.</w:t>
      </w:r>
    </w:p>
    <w:p w:rsidR="00913A52" w:rsidRPr="00B26CBD" w:rsidRDefault="00913A52" w:rsidP="00D96677">
      <w:pPr>
        <w:jc w:val="both"/>
      </w:pPr>
    </w:p>
    <w:p w:rsidR="00FF52DB" w:rsidRPr="00FF52DB" w:rsidRDefault="00C018DC" w:rsidP="00D96677">
      <w:pPr>
        <w:jc w:val="both"/>
        <w:sectPr w:rsidR="00FF52DB" w:rsidRPr="00FF52DB" w:rsidSect="00B26CBD">
          <w:headerReference w:type="default" r:id="rId8"/>
          <w:pgSz w:w="12240" w:h="15840"/>
          <w:pgMar w:top="1008" w:right="1008" w:bottom="720" w:left="1008" w:header="720" w:footer="720" w:gutter="0"/>
          <w:cols w:space="720"/>
        </w:sectPr>
      </w:pPr>
      <w:r w:rsidRPr="00B26CBD">
        <w:t>In addition to the plants on the NY DEC list, there are eight other non-native plants that are not recommended due to their aggressive growth.</w:t>
      </w:r>
      <w:r w:rsidR="008E74D1">
        <w:t xml:space="preserve"> </w:t>
      </w:r>
      <w:r w:rsidRPr="00B26CBD">
        <w:t>In many cases, these plants are considered invasive by other n</w:t>
      </w:r>
      <w:r w:rsidR="00FF52DB">
        <w:t>ortheastern states:</w:t>
      </w:r>
    </w:p>
    <w:p w:rsidR="00D75A59" w:rsidRPr="00363E2B" w:rsidRDefault="00C018DC" w:rsidP="00363E2B">
      <w:pPr>
        <w:pStyle w:val="ListParagraph"/>
        <w:numPr>
          <w:ilvl w:val="0"/>
          <w:numId w:val="2"/>
        </w:numPr>
        <w:rPr>
          <w:i/>
          <w:iCs/>
        </w:rPr>
      </w:pPr>
      <w:proofErr w:type="spellStart"/>
      <w:r w:rsidRPr="00363E2B">
        <w:rPr>
          <w:i/>
          <w:iCs/>
        </w:rPr>
        <w:t>Aegopodium</w:t>
      </w:r>
      <w:proofErr w:type="spellEnd"/>
      <w:r w:rsidRPr="00363E2B">
        <w:rPr>
          <w:i/>
          <w:iCs/>
        </w:rPr>
        <w:t xml:space="preserve"> </w:t>
      </w:r>
      <w:proofErr w:type="spellStart"/>
      <w:r w:rsidRPr="00363E2B">
        <w:rPr>
          <w:i/>
          <w:iCs/>
        </w:rPr>
        <w:t>podagraria</w:t>
      </w:r>
      <w:proofErr w:type="spellEnd"/>
      <w:r w:rsidRPr="00363E2B">
        <w:rPr>
          <w:i/>
          <w:iCs/>
        </w:rPr>
        <w:t xml:space="preserve"> </w:t>
      </w:r>
      <w:r w:rsidRPr="00B26CBD">
        <w:t>(Bishop's Weed)</w:t>
      </w:r>
    </w:p>
    <w:p w:rsidR="00A419BF" w:rsidRPr="00B26CBD" w:rsidRDefault="00C018DC" w:rsidP="00363E2B">
      <w:pPr>
        <w:pStyle w:val="ListParagraph"/>
        <w:numPr>
          <w:ilvl w:val="0"/>
          <w:numId w:val="2"/>
        </w:numPr>
      </w:pPr>
      <w:r w:rsidRPr="00363E2B">
        <w:rPr>
          <w:i/>
          <w:iCs/>
        </w:rPr>
        <w:t xml:space="preserve">Ailanthus </w:t>
      </w:r>
      <w:proofErr w:type="spellStart"/>
      <w:r w:rsidRPr="00363E2B">
        <w:rPr>
          <w:i/>
          <w:iCs/>
        </w:rPr>
        <w:t>altissima</w:t>
      </w:r>
      <w:proofErr w:type="spellEnd"/>
      <w:r w:rsidRPr="00363E2B">
        <w:rPr>
          <w:i/>
          <w:iCs/>
        </w:rPr>
        <w:t xml:space="preserve"> </w:t>
      </w:r>
      <w:r w:rsidR="00FF52DB">
        <w:t>(Tree of Heaven)</w:t>
      </w:r>
      <w:r w:rsidR="00FF52DB">
        <w:tab/>
      </w:r>
    </w:p>
    <w:p w:rsidR="00A419BF" w:rsidRPr="00B26CBD" w:rsidRDefault="00C018DC" w:rsidP="00363E2B">
      <w:pPr>
        <w:pStyle w:val="ListParagraph"/>
        <w:numPr>
          <w:ilvl w:val="0"/>
          <w:numId w:val="2"/>
        </w:numPr>
      </w:pPr>
      <w:r w:rsidRPr="00363E2B">
        <w:rPr>
          <w:i/>
          <w:iCs/>
        </w:rPr>
        <w:t xml:space="preserve">Buddleia </w:t>
      </w:r>
      <w:proofErr w:type="spellStart"/>
      <w:r w:rsidRPr="00363E2B">
        <w:rPr>
          <w:i/>
          <w:iCs/>
        </w:rPr>
        <w:t>davidii</w:t>
      </w:r>
      <w:proofErr w:type="spellEnd"/>
      <w:r w:rsidRPr="00363E2B">
        <w:rPr>
          <w:i/>
          <w:iCs/>
        </w:rPr>
        <w:t xml:space="preserve"> </w:t>
      </w:r>
      <w:r w:rsidR="00FF52DB">
        <w:t>(Butterfly Bush)</w:t>
      </w:r>
      <w:r w:rsidRPr="00B26CBD">
        <w:tab/>
      </w:r>
    </w:p>
    <w:p w:rsidR="00D75A59" w:rsidRDefault="00C018DC" w:rsidP="00363E2B">
      <w:pPr>
        <w:pStyle w:val="ListParagraph"/>
        <w:numPr>
          <w:ilvl w:val="0"/>
          <w:numId w:val="2"/>
        </w:numPr>
      </w:pPr>
      <w:proofErr w:type="spellStart"/>
      <w:r w:rsidRPr="00363E2B">
        <w:rPr>
          <w:i/>
          <w:iCs/>
        </w:rPr>
        <w:t>Convallaria</w:t>
      </w:r>
      <w:proofErr w:type="spellEnd"/>
      <w:r w:rsidRPr="00363E2B">
        <w:rPr>
          <w:i/>
          <w:iCs/>
        </w:rPr>
        <w:t xml:space="preserve"> </w:t>
      </w:r>
      <w:proofErr w:type="spellStart"/>
      <w:r w:rsidRPr="00363E2B">
        <w:rPr>
          <w:i/>
          <w:iCs/>
        </w:rPr>
        <w:t>majalis</w:t>
      </w:r>
      <w:proofErr w:type="spellEnd"/>
      <w:r w:rsidRPr="00363E2B">
        <w:rPr>
          <w:i/>
          <w:iCs/>
        </w:rPr>
        <w:t xml:space="preserve"> </w:t>
      </w:r>
      <w:r w:rsidRPr="00B26CBD">
        <w:t>(Lily of the Valley)</w:t>
      </w:r>
    </w:p>
    <w:p w:rsidR="00D75A59" w:rsidRDefault="00D75A59" w:rsidP="00FF52DB">
      <w:pPr>
        <w:pStyle w:val="ListParagraph"/>
        <w:numPr>
          <w:ilvl w:val="0"/>
          <w:numId w:val="2"/>
        </w:numPr>
        <w:ind w:left="360"/>
      </w:pPr>
      <w:proofErr w:type="spellStart"/>
      <w:r w:rsidRPr="00363E2B">
        <w:rPr>
          <w:i/>
          <w:iCs/>
        </w:rPr>
        <w:t>Hedera</w:t>
      </w:r>
      <w:proofErr w:type="spellEnd"/>
      <w:r w:rsidRPr="00363E2B">
        <w:rPr>
          <w:i/>
          <w:iCs/>
        </w:rPr>
        <w:t xml:space="preserve"> helix </w:t>
      </w:r>
      <w:r w:rsidRPr="00B26CBD">
        <w:t>(English Ivy)</w:t>
      </w:r>
    </w:p>
    <w:p w:rsidR="00D75A59" w:rsidRPr="00B26CBD" w:rsidRDefault="00D75A59" w:rsidP="00FF52DB">
      <w:pPr>
        <w:pStyle w:val="ListParagraph"/>
        <w:numPr>
          <w:ilvl w:val="0"/>
          <w:numId w:val="2"/>
        </w:numPr>
        <w:ind w:left="360"/>
      </w:pPr>
      <w:proofErr w:type="spellStart"/>
      <w:r w:rsidRPr="00363E2B">
        <w:rPr>
          <w:i/>
          <w:iCs/>
        </w:rPr>
        <w:t>Pyrus</w:t>
      </w:r>
      <w:proofErr w:type="spellEnd"/>
      <w:r w:rsidRPr="00363E2B">
        <w:rPr>
          <w:i/>
          <w:iCs/>
        </w:rPr>
        <w:t xml:space="preserve"> </w:t>
      </w:r>
      <w:proofErr w:type="spellStart"/>
      <w:r w:rsidRPr="00363E2B">
        <w:rPr>
          <w:i/>
          <w:iCs/>
        </w:rPr>
        <w:t>calleryana</w:t>
      </w:r>
      <w:proofErr w:type="spellEnd"/>
      <w:r w:rsidRPr="00363E2B">
        <w:rPr>
          <w:i/>
          <w:iCs/>
        </w:rPr>
        <w:t xml:space="preserve"> 'Bradford' </w:t>
      </w:r>
      <w:r w:rsidRPr="00B26CBD">
        <w:t>(Bradford Pear)</w:t>
      </w:r>
    </w:p>
    <w:p w:rsidR="00A419BF" w:rsidRDefault="00C018DC" w:rsidP="00FF52DB">
      <w:pPr>
        <w:pStyle w:val="ListParagraph"/>
        <w:numPr>
          <w:ilvl w:val="0"/>
          <w:numId w:val="2"/>
        </w:numPr>
        <w:ind w:left="360"/>
      </w:pPr>
      <w:r w:rsidRPr="00363E2B">
        <w:rPr>
          <w:i/>
          <w:iCs/>
        </w:rPr>
        <w:t xml:space="preserve">Wisteria </w:t>
      </w:r>
      <w:proofErr w:type="spellStart"/>
      <w:r w:rsidRPr="00363E2B">
        <w:rPr>
          <w:i/>
          <w:iCs/>
        </w:rPr>
        <w:t>sinensis</w:t>
      </w:r>
      <w:proofErr w:type="spellEnd"/>
      <w:r w:rsidRPr="00363E2B">
        <w:rPr>
          <w:i/>
          <w:iCs/>
        </w:rPr>
        <w:t xml:space="preserve"> </w:t>
      </w:r>
      <w:r w:rsidRPr="00B26CBD">
        <w:t>(Chinese Wisteria)</w:t>
      </w:r>
    </w:p>
    <w:p w:rsidR="00D75A59" w:rsidRPr="00B26CBD" w:rsidRDefault="00D75A59" w:rsidP="00FF52DB">
      <w:pPr>
        <w:pStyle w:val="ListParagraph"/>
        <w:numPr>
          <w:ilvl w:val="0"/>
          <w:numId w:val="2"/>
        </w:numPr>
        <w:ind w:left="360"/>
      </w:pPr>
      <w:proofErr w:type="spellStart"/>
      <w:r w:rsidRPr="00363E2B">
        <w:rPr>
          <w:i/>
          <w:iCs/>
        </w:rPr>
        <w:t>Vinca</w:t>
      </w:r>
      <w:proofErr w:type="spellEnd"/>
      <w:r w:rsidRPr="00363E2B">
        <w:rPr>
          <w:i/>
          <w:iCs/>
        </w:rPr>
        <w:t xml:space="preserve"> minor </w:t>
      </w:r>
      <w:r w:rsidRPr="00B26CBD">
        <w:t>(Common Periwinkle)</w:t>
      </w:r>
    </w:p>
    <w:p w:rsidR="00FF52DB" w:rsidRDefault="00FF52DB" w:rsidP="00363E2B">
      <w:pPr>
        <w:sectPr w:rsidR="00FF52DB" w:rsidSect="00FF52DB">
          <w:type w:val="continuous"/>
          <w:pgSz w:w="12240" w:h="15840"/>
          <w:pgMar w:top="1008" w:right="1008" w:bottom="720" w:left="1008" w:header="720" w:footer="720" w:gutter="0"/>
          <w:cols w:num="2" w:space="720"/>
        </w:sectPr>
      </w:pPr>
    </w:p>
    <w:p w:rsidR="00CA7891" w:rsidRPr="00B26CBD" w:rsidRDefault="00CA7891" w:rsidP="00363E2B"/>
    <w:p w:rsidR="00A419BF" w:rsidRPr="00B26CBD" w:rsidRDefault="00C018DC" w:rsidP="00D96677">
      <w:pPr>
        <w:jc w:val="both"/>
      </w:pPr>
      <w:r w:rsidRPr="00B26CBD">
        <w:t>Removal of these plants is not required for certification of a pollinator-friendly garden.</w:t>
      </w:r>
      <w:r w:rsidR="008E74D1">
        <w:t xml:space="preserve"> </w:t>
      </w:r>
      <w:r w:rsidRPr="00B26CBD">
        <w:t>However, we recommend removing these plants and can provide advice on the best methods for any that are present in a garden.</w:t>
      </w:r>
    </w:p>
    <w:p w:rsidR="008E74D1" w:rsidRDefault="008E74D1" w:rsidP="00D96677">
      <w:pPr>
        <w:jc w:val="both"/>
        <w:rPr>
          <w:color w:val="000000"/>
        </w:rPr>
      </w:pPr>
    </w:p>
    <w:p w:rsidR="00A419BF" w:rsidRPr="00D96677" w:rsidRDefault="00C018DC" w:rsidP="00D96677">
      <w:pPr>
        <w:jc w:val="both"/>
        <w:rPr>
          <w:color w:val="000000"/>
        </w:rPr>
      </w:pPr>
      <w:r w:rsidRPr="00B26CBD">
        <w:rPr>
          <w:color w:val="000000"/>
        </w:rPr>
        <w:t>Questions?</w:t>
      </w:r>
      <w:r w:rsidR="008E74D1">
        <w:rPr>
          <w:color w:val="000000"/>
        </w:rPr>
        <w:t xml:space="preserve"> </w:t>
      </w:r>
      <w:r w:rsidRPr="00B26CBD">
        <w:rPr>
          <w:color w:val="000000"/>
        </w:rPr>
        <w:t xml:space="preserve">Contact Cornell Cooperative Extension – Monroe County's Gardening Helpline by phone - 585-753-2555 or email – </w:t>
      </w:r>
      <w:hyperlink r:id="rId9" w:history="1">
        <w:r w:rsidR="00B26CBD" w:rsidRPr="006277A2">
          <w:rPr>
            <w:rStyle w:val="Hyperlink"/>
          </w:rPr>
          <w:t>monroemg@cornell.edu</w:t>
        </w:r>
      </w:hyperlink>
      <w:r w:rsidRPr="00B26CBD">
        <w:rPr>
          <w:color w:val="000000"/>
        </w:rPr>
        <w:t>.</w:t>
      </w:r>
      <w:r w:rsidR="00D96677">
        <w:rPr>
          <w:color w:val="000000"/>
        </w:rPr>
        <w:t xml:space="preserve"> </w:t>
      </w:r>
      <w:r w:rsidR="00B26CBD" w:rsidRPr="00FF52DB">
        <w:rPr>
          <w:i/>
        </w:rPr>
        <w:t>Author:</w:t>
      </w:r>
      <w:r w:rsidR="008E74D1" w:rsidRPr="00FF52DB">
        <w:rPr>
          <w:i/>
        </w:rPr>
        <w:t xml:space="preserve"> </w:t>
      </w:r>
      <w:r w:rsidR="00D75A59" w:rsidRPr="00FF52DB">
        <w:rPr>
          <w:i/>
        </w:rPr>
        <w:t xml:space="preserve">Monroe County </w:t>
      </w:r>
      <w:r w:rsidR="00B26CBD" w:rsidRPr="00FF52DB">
        <w:rPr>
          <w:i/>
        </w:rPr>
        <w:t>Master Gardener Pollinator-Friendly Team</w:t>
      </w:r>
      <w:r w:rsidR="00D96677">
        <w:rPr>
          <w:color w:val="000000"/>
        </w:rPr>
        <w:t xml:space="preserve">, </w:t>
      </w:r>
      <w:r w:rsidR="00D75A59" w:rsidRPr="00FF52DB">
        <w:rPr>
          <w:i/>
        </w:rPr>
        <w:t>April</w:t>
      </w:r>
      <w:r w:rsidR="00B26CBD" w:rsidRPr="00FF52DB">
        <w:rPr>
          <w:i/>
        </w:rPr>
        <w:t xml:space="preserve"> 2021</w:t>
      </w:r>
      <w:r w:rsidR="00D96677">
        <w:rPr>
          <w:i/>
        </w:rPr>
        <w:t>.</w:t>
      </w:r>
      <w:bookmarkStart w:id="0" w:name="_GoBack"/>
      <w:bookmarkEnd w:id="0"/>
    </w:p>
    <w:sectPr w:rsidR="00A419BF" w:rsidRPr="00D96677" w:rsidSect="00FF52DB">
      <w:type w:val="continuous"/>
      <w:pgSz w:w="12240" w:h="15840"/>
      <w:pgMar w:top="1008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DA" w:rsidRDefault="00C018DC" w:rsidP="00363E2B">
      <w:r>
        <w:separator/>
      </w:r>
    </w:p>
  </w:endnote>
  <w:endnote w:type="continuationSeparator" w:id="0">
    <w:p w:rsidR="00D707DA" w:rsidRDefault="00C018DC" w:rsidP="0036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DA" w:rsidRDefault="00C018DC" w:rsidP="00363E2B">
      <w:r>
        <w:separator/>
      </w:r>
    </w:p>
  </w:footnote>
  <w:footnote w:type="continuationSeparator" w:id="0">
    <w:p w:rsidR="00D707DA" w:rsidRDefault="00C018DC" w:rsidP="0036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27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27"/>
      <w:gridCol w:w="3000"/>
    </w:tblGrid>
    <w:tr w:rsidR="00FF52DB" w:rsidTr="00D96677">
      <w:trPr>
        <w:trHeight w:val="931"/>
      </w:trPr>
      <w:tc>
        <w:tcPr>
          <w:tcW w:w="7327" w:type="dxa"/>
        </w:tcPr>
        <w:p w:rsidR="00FF52DB" w:rsidRPr="00FF52DB" w:rsidRDefault="00FF52DB" w:rsidP="00FF52DB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61AB21B5" wp14:editId="7D39050D">
                <wp:simplePos x="0" y="0"/>
                <wp:positionH relativeFrom="column">
                  <wp:posOffset>18238</wp:posOffset>
                </wp:positionH>
                <wp:positionV relativeFrom="paragraph">
                  <wp:posOffset>355</wp:posOffset>
                </wp:positionV>
                <wp:extent cx="3610610" cy="627380"/>
                <wp:effectExtent l="0" t="0" r="0" b="127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2" descr="C:\Users\tjp58\Desktop\CCE PPT\CCE Logo Cornell Cooperative Extension_WEB_Color Class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061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0" w:type="dxa"/>
        </w:tcPr>
        <w:p w:rsidR="00FF52DB" w:rsidRPr="00DC791E" w:rsidRDefault="00FF52DB" w:rsidP="00FF52DB">
          <w:pPr>
            <w:pStyle w:val="Address"/>
            <w:spacing w:after="40"/>
            <w:rPr>
              <w:rFonts w:ascii="Palatino Linotype" w:hAnsi="Palatino Linotype"/>
              <w:b/>
              <w:bCs/>
              <w:kern w:val="20"/>
              <w:sz w:val="18"/>
            </w:rPr>
          </w:pPr>
          <w:r>
            <w:rPr>
              <w:rFonts w:ascii="Palatino Linotype" w:hAnsi="Palatino Linotype"/>
              <w:b/>
              <w:bCs/>
              <w:kern w:val="20"/>
              <w:sz w:val="18"/>
            </w:rPr>
            <w:t>Education Center</w:t>
          </w:r>
        </w:p>
        <w:p w:rsidR="00FF52DB" w:rsidRPr="00E611A6" w:rsidRDefault="00FF52DB" w:rsidP="00FF52DB">
          <w:pPr>
            <w:pStyle w:val="Address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E611A6">
            <w:rPr>
              <w:rFonts w:ascii="Palatino Linotype" w:hAnsi="Palatino Linotype"/>
              <w:kern w:val="20"/>
              <w:sz w:val="18"/>
              <w:szCs w:val="18"/>
            </w:rPr>
            <w:t>2449 Saint Paul Blvd</w:t>
          </w:r>
        </w:p>
        <w:p w:rsidR="00FF52DB" w:rsidRPr="00DC791E" w:rsidRDefault="00FF52DB" w:rsidP="00FF52DB">
          <w:pPr>
            <w:pStyle w:val="Address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E611A6">
            <w:rPr>
              <w:rFonts w:ascii="Palatino Linotype" w:hAnsi="Palatino Linotype"/>
              <w:kern w:val="20"/>
              <w:sz w:val="18"/>
              <w:szCs w:val="18"/>
            </w:rPr>
            <w:t>Rochester, NY 14617</w:t>
          </w:r>
        </w:p>
        <w:p w:rsidR="00FF52DB" w:rsidRPr="00DC791E" w:rsidRDefault="00FF52DB" w:rsidP="00FF52D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t.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(585) 753-2550</w:t>
          </w:r>
        </w:p>
        <w:p w:rsidR="00FF52DB" w:rsidRPr="00DC791E" w:rsidRDefault="00FF52DB" w:rsidP="00FF52D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f.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(585) 753-2560</w:t>
          </w:r>
        </w:p>
        <w:p w:rsidR="00FF52DB" w:rsidRPr="00DC791E" w:rsidRDefault="00FF52DB" w:rsidP="00FF52D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e.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monroe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@cornell.edu </w:t>
          </w:r>
        </w:p>
        <w:p w:rsidR="00FF52DB" w:rsidRPr="00FF52DB" w:rsidRDefault="00FF52DB" w:rsidP="00FF52DB">
          <w:pPr>
            <w:pStyle w:val="Address"/>
            <w:spacing w:line="200" w:lineRule="exact"/>
            <w:rPr>
              <w:kern w:val="16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http://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>cce.cornell.edu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/monroe</w:t>
          </w:r>
        </w:p>
      </w:tc>
    </w:tr>
  </w:tbl>
  <w:p w:rsidR="00FF52DB" w:rsidRDefault="00FF52DB" w:rsidP="00FF5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0F33"/>
    <w:multiLevelType w:val="hybridMultilevel"/>
    <w:tmpl w:val="957C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B1C62"/>
    <w:multiLevelType w:val="hybridMultilevel"/>
    <w:tmpl w:val="1824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BF"/>
    <w:rsid w:val="001138CD"/>
    <w:rsid w:val="00363E2B"/>
    <w:rsid w:val="008E74D1"/>
    <w:rsid w:val="00913A52"/>
    <w:rsid w:val="00A057CE"/>
    <w:rsid w:val="00A419BF"/>
    <w:rsid w:val="00B26CBD"/>
    <w:rsid w:val="00C018DC"/>
    <w:rsid w:val="00CA7891"/>
    <w:rsid w:val="00D707DA"/>
    <w:rsid w:val="00D75A59"/>
    <w:rsid w:val="00D9667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D4F5F1"/>
  <w15:docId w15:val="{BEAF820C-3DE0-4909-9F9A-9BFE083D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E2B"/>
    <w:rPr>
      <w:rFonts w:asciiTheme="minorHAnsi" w:hAnsiTheme="minorHAnsi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CA78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789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63E2B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63E2B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ListParagraph">
    <w:name w:val="List Paragraph"/>
    <w:basedOn w:val="Normal"/>
    <w:uiPriority w:val="34"/>
    <w:qFormat/>
    <w:rsid w:val="00363E2B"/>
    <w:pPr>
      <w:ind w:left="720"/>
      <w:contextualSpacing/>
    </w:pPr>
    <w:rPr>
      <w:rFonts w:cs="Mangal"/>
      <w:szCs w:val="21"/>
    </w:rPr>
  </w:style>
  <w:style w:type="paragraph" w:styleId="Header">
    <w:name w:val="header"/>
    <w:basedOn w:val="Normal"/>
    <w:link w:val="HeaderChar"/>
    <w:rsid w:val="00FF52DB"/>
    <w:pPr>
      <w:widowControl/>
      <w:tabs>
        <w:tab w:val="center" w:pos="4320"/>
        <w:tab w:val="right" w:pos="8640"/>
      </w:tabs>
      <w:suppressAutoHyphens w:val="0"/>
      <w:autoSpaceDN/>
      <w:textAlignment w:val="auto"/>
    </w:pPr>
    <w:rPr>
      <w:rFonts w:ascii="Palatino" w:eastAsia="Times" w:hAnsi="Palatino" w:cs="Times New Roman"/>
      <w:kern w:val="0"/>
      <w:szCs w:val="20"/>
      <w:lang w:eastAsia="en-US" w:bidi="ar-SA"/>
    </w:rPr>
  </w:style>
  <w:style w:type="character" w:customStyle="1" w:styleId="HeaderChar">
    <w:name w:val="Header Char"/>
    <w:basedOn w:val="DefaultParagraphFont"/>
    <w:link w:val="Header"/>
    <w:rsid w:val="00FF52DB"/>
    <w:rPr>
      <w:rFonts w:ascii="Palatino" w:eastAsia="Times" w:hAnsi="Palatino" w:cs="Times New Roman"/>
      <w:kern w:val="0"/>
      <w:szCs w:val="20"/>
      <w:lang w:eastAsia="en-US" w:bidi="ar-SA"/>
    </w:rPr>
  </w:style>
  <w:style w:type="paragraph" w:customStyle="1" w:styleId="Address">
    <w:name w:val="Address"/>
    <w:basedOn w:val="Normal"/>
    <w:rsid w:val="00FF52DB"/>
    <w:pPr>
      <w:widowControl/>
      <w:suppressAutoHyphens w:val="0"/>
      <w:autoSpaceDN/>
      <w:textAlignment w:val="auto"/>
    </w:pPr>
    <w:rPr>
      <w:rFonts w:ascii="Palatino" w:eastAsia="Times" w:hAnsi="Palatino" w:cs="Times New Roman"/>
      <w:kern w:val="14"/>
      <w:sz w:val="16"/>
      <w:szCs w:val="20"/>
      <w:lang w:eastAsia="en-US" w:bidi="ar-SA"/>
    </w:rPr>
  </w:style>
  <w:style w:type="paragraph" w:customStyle="1" w:styleId="Phone">
    <w:name w:val="Phone"/>
    <w:basedOn w:val="Address"/>
    <w:rsid w:val="00FF52DB"/>
  </w:style>
  <w:style w:type="table" w:styleId="TableGrid">
    <w:name w:val="Table Grid"/>
    <w:basedOn w:val="TableNormal"/>
    <w:rsid w:val="00FF52DB"/>
    <w:pPr>
      <w:widowControl/>
      <w:suppressAutoHyphens w:val="0"/>
      <w:autoSpaceDN/>
      <w:textAlignment w:val="auto"/>
    </w:pPr>
    <w:rPr>
      <w:rFonts w:ascii="Times" w:eastAsia="Times" w:hAnsi="Times" w:cs="Times New Roman"/>
      <w:kern w:val="0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F52D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F52DB"/>
    <w:rPr>
      <w:rFonts w:asciiTheme="minorHAnsi" w:hAnsiTheme="minorHAnsi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ysipm.cornell.edu/sites/nysipm.cornell.edu/files/shared/documents/NYSIPM-alt-in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nroemg@cornell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Nelson</dc:creator>
  <cp:lastModifiedBy>Adrienne Kaplan</cp:lastModifiedBy>
  <cp:revision>8</cp:revision>
  <dcterms:created xsi:type="dcterms:W3CDTF">2021-04-22T13:27:00Z</dcterms:created>
  <dcterms:modified xsi:type="dcterms:W3CDTF">2021-04-28T16:51:00Z</dcterms:modified>
</cp:coreProperties>
</file>